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r>
        <w:rPr>
          <w:b/>
          <w:bCs/>
        </w:rPr>
        <w:t xml:space="preserve">Załącznik nr </w:t>
      </w:r>
      <w:r>
        <w:rPr>
          <w:b/>
          <w:bCs/>
        </w:rPr>
        <w:t>2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>(DZ. U. Z 2018 R. POZ. 450, Z PÓŹN. ZM.)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numPr>
          <w:ilvl w:val="0"/>
          <w:numId w:val="0"/>
        </w:numPr>
        <w:spacing w:lineRule="auto" w:line="276"/>
        <w:ind w:left="783" w:hanging="0"/>
        <w:jc w:val="both"/>
        <w:rPr>
          <w:b/>
          <w:b/>
        </w:rPr>
      </w:pPr>
      <w:r>
        <w:rPr>
          <w:b/>
        </w:rPr>
        <w:t xml:space="preserve">5. </w:t>
      </w:r>
      <w:bookmarkStart w:id="5" w:name="page33R_mcid13"/>
      <w:bookmarkEnd w:id="5"/>
      <w:r>
        <w:rPr>
          <w:b w:val="false"/>
          <w:bCs w:val="false"/>
          <w:sz w:val="24"/>
          <w:szCs w:val="24"/>
        </w:rPr>
        <w:t>Zadanie publiczne współfinansowane z budżetu powiatu kolskiego powinno spełniać standardy zapewniające dostępność dla osób ze szczególnymi potrzebami, stosując rozwiązania  określone w ustawie z dnia 19 lipca 2019 r. o zapewnianiu dostępności osobom ze szczególnymi potrzebami.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customMarkFollows="1" w:id="15"/>
        <w:t>)*. c, . ci–5.c. –5,c  7,   7,. 26 7,  c  w  10 1 (-cn: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Zleceniobiorca(-y) składa(-ją) sprawozdanie końcowe z wykonania zadania publicznego sporządzone według wzoru, o którym mowa w ust. 2w terminie 30 dni od dnia zakończenia realizacji zadania publicznego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Zleceniodawca ma prawo żądać, aby Zleceniobiorca(-y), w wyznaczonym terminie, przedstawił(-li) dodatkowe informacje, wyjaśnienia oraz dowody do sprawozdań, </w:t>
        <w:br/>
        <w:t>o których mowa w ust. 2 Żądanie to jest wiążące dla Zleceniobiorcy(-ów)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W przypadku niezłożenia sprawozdań, o których mowa w ust. 2 w terminie Zleceniodawca wzywa pisemnie Zleceniobiorcę(-ów) do ich złożenia w terminie 7 dni od dnia otrzymania wezwania.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 skutkuje uznaniem dotacji za wykorzystaną niezgodnie z przeznaczeniem na zasadach, o których mowa w ustawie z dnia 27 sierpnia 2009r. ofinansach publicznych (Dz.U. z 201 r. poz. 2077 z późn. zm.)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Niezastosowanie się do wezwania, o którym mowa w ust. , lub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Złożenie sprawozdania końcowego przez Zleceniobiorcę(-ów)jest równoznaczne zudzieleniem Zleceniodawcy prawa do rozpowszechniania informacji w nim zawartych sprawozdaniach, materiałach informacyjnych ipromocyjnych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§ 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oraz uzyskane w związku zrealizacją zadania przychody, w tym odsetki bankowe od przekazanej dotacji, Zleceniobiorcay) jest/są zobowiązany(-i) wykorzystać w terminie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>
          <w:rFonts w:ascii="Calibri" w:hAnsi="Calibri"/>
          <w:sz w:val="18"/>
          <w:szCs w:val="18"/>
        </w:rPr>
      </w:pPr>
      <w:r>
        <w:rPr>
          <w:rStyle w:val="Znakiprzypiswdolnych"/>
        </w:rPr>
        <w:t>)*. c, . ci–5.c. –5,c  7,   7,. 26 7,  c  w  10 1 (-cn:</w:t>
      </w:r>
      <w:r>
        <w:rPr>
          <w:rStyle w:val="Znakiprzypiswdolnych"/>
        </w:rPr>
        <w:t>)*. c, . ci–5.c. –5,c  7,   7,. 26 7,  c  w  10 1 (-cn:</w:t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3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99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da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0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9D97-550B-4DFD-A003-A8796768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LibreOffice/6.4.0.3$Windows_X86_64 LibreOffice_project/b0a288ab3d2d4774cb44b62f04d5d28733ac6df8</Application>
  <Pages>11</Pages>
  <Words>3511</Words>
  <Characters>23614</Characters>
  <CharactersWithSpaces>27119</CharactersWithSpaces>
  <Paragraphs>209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2020-02-25T09:39:00Z</dcterms:created>
  <dc:creator>Katarzyna Kolodziej</dc:creator>
  <dc:description/>
  <dc:language>pl-PL</dc:language>
  <cp:lastModifiedBy/>
  <cp:lastPrinted>2018-10-09T16:49:00Z</cp:lastPrinted>
  <dcterms:modified xsi:type="dcterms:W3CDTF">2022-01-11T13:58:06Z</dcterms:modified>
  <cp:revision>4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